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77b StGB — Antragsfrist</w:t>
      </w:r>
    </w:p>
    <w:p>
      <w:r>
        <w:rPr>
          <w:color w:val="555555"/>
          <w:sz w:val="18"/>
        </w:rPr>
        <w:t xml:space="preserve">Strafgesetzbuch</w:t>
      </w:r>
    </w:p>
    <w:p>
      <w:r>
        <w:rPr>
          <w:color w:val="555555"/>
          <w:sz w:val="18"/>
        </w:rPr>
        <w:t xml:space="preserve">Stand: 10.06.2019 (konsolidierte Textfassung, kein amtliches Inkrafttretensdatum)</w:t>
      </w:r>
    </w:p>
    <w:p>
      <w:r>
        <w:t xml:space="preserve">(1) Eine Tat, die nur auf Antrag verfolgbar ist, wird nicht verfolgt, wenn der Antragsberechtigte es unterläßt, den Antrag bis zum Ablauf einer Frist von drei Monaten zu stellen. Fällt das Ende der Frist auf einen Sonntag, einen allgemeinen Feiertag oder einen Sonnabend, so endet die Frist mit Ablauf des nächsten Werktags.</w:t>
      </w:r>
    </w:p>
    <w:p>
      <w:r>
        <w:t xml:space="preserve">(2) Die Frist beginnt mit Ablauf des Tages, an dem der Berechtigte von der Tat und der Person des Täters Kenntnis erlangt. Für den Antrag des gesetzlichen Vertreters und des Sorgeberechtigten kommt es auf dessen Kenntnis an.</w:t>
      </w:r>
    </w:p>
    <w:p>
      <w:r>
        <w:t xml:space="preserve">(3) Sind mehrere antragsberechtigt oder mehrere an der Tat beteiligt, so läuft die Frist für und gegen jeden gesondert.</w:t>
      </w:r>
    </w:p>
    <w:p>
      <w:r>
        <w:t xml:space="preserve">(4) Ist durch Tod des Verletzten das Antragsrecht auf Angehörige übergegangen, so endet die Frist frühestens drei Monate und spätestens sechs Monate nach dem Tod des Verletzten.</w:t>
      </w:r>
    </w:p>
    <w:p>
      <w:r>
        <w:t xml:space="preserve">(5) Der Lauf der Frist ruht, wenn ein Antrag auf Durchführung eines Sühneversuchs gemäß § 380 der Strafprozeßordnung bei der Vergleichsbehörde eingeht, bis zur Ausstellung der Bescheinigung nach § 380 Abs. 1 Satz 3 der Strafprozeßordnung.</w:t>
      </w:r>
    </w:p>
    <w:p>
      <w:r>
        <w:rPr>
          <w:color w:val="555555"/>
          <w:sz w:val="17"/>
        </w:rPr>
        <w:t xml:space="preserve">Zitiervorschlag: § 77b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