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74a StGB — Einziehung von Tatprodukten, Tatmitteln und Tatobjekten bei anderen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Verweist ein Gesetz auf diese Vorschrift, können Gegenstände abweichend von § 74 Absatz 3 auch dann eingezogen werden, wenn derjenige, dem sie zur Zeit der Entscheidung gehören oder zustehen,</w:t>
      </w:r>
    </w:p>
    <w:p>
      <w:pPr>
        <w:ind w:left="420"/>
      </w:pPr>
      <w:r>
        <w:t xml:space="preserve">1. mindestens leichtfertig dazu beigetragen hat, dass sie als Tatmittel verwendet worden oder Tatobjekt gewesen sind, oder</w:t>
      </w:r>
    </w:p>
    <w:p>
      <w:pPr>
        <w:ind w:left="420"/>
      </w:pPr>
      <w:r>
        <w:t xml:space="preserve">2. sie in Kenntnis der Umstände, welche die Einziehung zugelassen hätten, in verwerflicher Weise erworben hat.</w:t>
      </w:r>
    </w:p>
    <w:p>
      <w:r>
        <w:rPr>
          <w:color w:val="555555"/>
          <w:sz w:val="17"/>
        </w:rPr>
        <w:t xml:space="preserve">Zitiervorschlag: § 74a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https://recht.nulegal.eu/gesetze/StGB/74a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