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StGB — Einziehung von Tatprodukten, Tatmitteln und Tatobjekten bei Tätern und Teilnehmern</w:t>
      </w:r>
    </w:p>
    <w:p>
      <w:r>
        <w:rPr>
          <w:color w:val="555555"/>
          <w:sz w:val="18"/>
        </w:rPr>
        <w:t xml:space="preserve">Strafgesetzbuch</w:t>
      </w:r>
    </w:p>
    <w:p>
      <w:r>
        <w:rPr>
          <w:color w:val="555555"/>
          <w:sz w:val="18"/>
        </w:rPr>
        <w:t xml:space="preserve">Stand: 10.06.2019 (konsolidierte Textfassung, kein amtliches Inkrafttretensdatum)</w:t>
      </w:r>
    </w:p>
    <w:p>
      <w:r>
        <w:t xml:space="preserve">(1) Gegenstände, die durch eine vorsätzliche Tat hervorgebracht (Tatprodukte) oder zu ihrer Begehung oder Vorbereitung gebraucht worden oder bestimmt gewesen sind (Tatmittel), können eingezogen werden.</w:t>
      </w:r>
    </w:p>
    <w:p>
      <w:r>
        <w:t xml:space="preserve">(2) Gegenstände, auf die sich eine Straftat bezieht (Tatobjekte), unterliegen der Einziehung nach der Maßgabe besonderer Vorschriften.</w:t>
      </w:r>
    </w:p>
    <w:p>
      <w:r>
        <w:t xml:space="preserve">(3) Die Einziehung ist nur zulässig, wenn die Gegenstände zur Zeit der Entscheidung dem Täter oder Teilnehmer gehören oder zustehen. Das gilt auch für die Einziehung, die durch eine besondere Vorschrift über Absatz 1 hinaus vorgeschrieben oder zugelassen ist.</w:t>
      </w:r>
    </w:p>
    <w:p>
      <w:r>
        <w:rPr>
          <w:color w:val="555555"/>
          <w:sz w:val="17"/>
        </w:rPr>
        <w:t xml:space="preserve">Zitiervorschlag: § 74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