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StGB — Einziehung von Taterträgen bei Tätern und Teilnehmern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Täter oder Teilnehmer durch eine rechtswidrige Tat oder für sie etwas erlangt, so ordnet das Gericht dessen Einziehung an.</w:t>
      </w:r>
    </w:p>
    <w:p>
      <w:r>
        <w:t xml:space="preserve">(2) Hat der Täter oder Teilnehmer Nutzungen aus dem Erlangten gezogen, so ordnet das Gericht auch deren Einziehung an.</w:t>
      </w:r>
    </w:p>
    <w:p>
      <w:r>
        <w:t xml:space="preserve">(3) Das Gericht kann auch die Einziehung der Gegenstände anordnen, die der Täter oder Teilnehmer erworben hat</w:t>
      </w:r>
    </w:p>
    <w:p>
      <w:pPr>
        <w:ind w:left="420"/>
      </w:pPr>
      <w:r>
        <w:t xml:space="preserve">1. durch Veräußerung des Erlangten oder als Ersatz für dessen Zerstörung, Beschädigung oder Entziehung oder</w:t>
      </w:r>
    </w:p>
    <w:p>
      <w:pPr>
        <w:ind w:left="420"/>
      </w:pPr>
      <w:r>
        <w:t xml:space="preserve">2. auf Grund eines erlangten Rechts.</w:t>
      </w:r>
    </w:p>
    <w:p>
      <w:r>
        <w:rPr>
          <w:color w:val="555555"/>
          <w:sz w:val="17"/>
        </w:rPr>
        <w:t xml:space="preserve">Zitiervorschlag: § 73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