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72 StGB — Verbindung von Maßregeln</w:t>
      </w:r>
    </w:p>
    <w:p>
      <w:r>
        <w:rPr>
          <w:color w:val="555555"/>
          <w:sz w:val="18"/>
        </w:rPr>
        <w:t xml:space="preserve">Strafgesetzbuch</w:t>
      </w:r>
    </w:p>
    <w:p>
      <w:r>
        <w:rPr>
          <w:color w:val="555555"/>
          <w:sz w:val="18"/>
        </w:rPr>
        <w:t xml:space="preserve">Stand: 10.06.2019 (konsolidierte Textfassung, kein amtliches Inkrafttretensdatum)</w:t>
      </w:r>
    </w:p>
    <w:p>
      <w:r>
        <w:t xml:space="preserve">(1) Sind die Voraussetzungen für mehrere Maßregeln erfüllt, ist aber der erstrebte Zweck durch einzelne von ihnen zu erreichen, so werden nur sie angeordnet. Dabei ist unter mehreren geeigneten Maßregeln denen der Vorzug zu geben, die den Täter am wenigsten beschweren.</w:t>
      </w:r>
    </w:p>
    <w:p>
      <w:r>
        <w:t xml:space="preserve">(2) Im übrigen werden die Maßregeln nebeneinander angeordnet, wenn das Gesetz nichts anderes bestimmt.</w:t>
      </w:r>
    </w:p>
    <w:p>
      <w:r>
        <w:t xml:space="preserve">(3) Werden mehrere freiheitsentziehende Maßregeln angeordnet, so bestimmt das Gericht die Reihenfolge der Vollstreckung. Vor dem Ende des Vollzugs einer Maßregel ordnet das Gericht jeweils den Vollzug der nächsten an, wenn deren Zweck die Unterbringung noch erfordert. § 67c Abs. 2 Satz 4 und 5 ist anzuwenden.</w:t>
      </w:r>
    </w:p>
    <w:p>
      <w:r>
        <w:rPr>
          <w:color w:val="555555"/>
          <w:sz w:val="17"/>
        </w:rPr>
        <w:t xml:space="preserve">Zitiervorschlag: § 72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