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StGB — Selbständige Anordnung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Unterbringung in einem psychiatrischen Krankenhaus oder in einer Entziehungsanstalt kann das Gericht auch selbständig anordnen, wenn das Strafverfahren wegen Schuldunfähigkeit oder Verhandlungsunfähigkeit des Täters undurchführbar ist.</w:t>
      </w:r>
    </w:p>
    <w:p>
      <w:r>
        <w:t xml:space="preserve">(2) Dasselbe gilt für die Entziehung der Fahrerlaubnis und das Berufsverbot.</w:t>
      </w:r>
    </w:p>
    <w:p>
      <w:r>
        <w:rPr>
          <w:color w:val="555555"/>
          <w:sz w:val="17"/>
        </w:rPr>
        <w:t xml:space="preserve">Zitiervorschlag: § 71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