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StGB — Voraussetzungen der Führungsaufsicht</w:t>
      </w:r>
    </w:p>
    <w:p>
      <w:r>
        <w:rPr>
          <w:color w:val="555555"/>
          <w:sz w:val="18"/>
        </w:rPr>
        <w:t xml:space="preserve">Strafgesetzbuch</w:t>
      </w:r>
    </w:p>
    <w:p>
      <w:r>
        <w:rPr>
          <w:color w:val="555555"/>
          <w:sz w:val="18"/>
        </w:rPr>
        <w:t xml:space="preserve">Stand: 10.06.2019 (konsolidierte Textfassung, kein amtliches Inkrafttretensdatum)</w:t>
      </w:r>
    </w:p>
    <w:p>
      <w:r>
        <w:t xml:space="preserve">(1) Hat jemand wegen einer Straftat, bei der das Gesetz Führungsaufsicht besonders vorsieht, zeitige Freiheitsstrafe von mindestens sechs Monaten verwirkt, so kann das Gericht neben der Strafe Führungsaufsicht anordnen, wenn die Gefahr besteht, daß er weitere Straftaten begehen wird.</w:t>
      </w:r>
    </w:p>
    <w:p>
      <w:r>
        <w:t xml:space="preserve">(2) Die Vorschriften über die Führungsaufsicht kraft Gesetzes (§§ 67b, 67c, 67d Abs. 2 bis 6 und § 68f) bleiben unberührt.</w:t>
      </w:r>
    </w:p>
    <w:p>
      <w:r>
        <w:rPr>
          <w:color w:val="555555"/>
          <w:sz w:val="17"/>
        </w:rPr>
        <w:t xml:space="preserve">Zitiervorschlag: § 68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