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StGB — Auslandstaten gegen international geschützte Rechtsgüter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Das deutsche Strafrecht gilt weiter, unabhängig vom Recht des Tatorts, für folgende Taten, die im Ausland begangen werden: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Kernenergie-, Sprengstoff- und Strahlungsverbrechen in den Fällen der §§ 307 und 308 Absatz 1 bis 5, des § 309 Abs. 2 und des § 310;</w:t>
      </w:r>
    </w:p>
    <w:p>
      <w:pPr>
        <w:ind w:left="420"/>
      </w:pPr>
      <w:r>
        <w:t xml:space="preserve">3. Angriffe auf den Luft- und Seeverkehr (§ 316c);</w:t>
      </w:r>
    </w:p>
    <w:p>
      <w:pPr>
        <w:ind w:left="420"/>
      </w:pPr>
      <w:r>
        <w:t xml:space="preserve">4. Menschenhandel (§ 232);</w:t>
      </w:r>
    </w:p>
    <w:p>
      <w:pPr>
        <w:ind w:left="420"/>
      </w:pPr>
      <w:r>
        <w:t xml:space="preserve">5. unbefugter Vertrieb von Betäubungsmitteln;</w:t>
      </w:r>
    </w:p>
    <w:p>
      <w:pPr>
        <w:ind w:left="420"/>
      </w:pPr>
      <w:r>
        <w:t xml:space="preserve">6. Verbreitung pornographischer Inhalte in den Fällen der §§ 184a, 184b Absatz 1 und 2 und § 184c Absatz 1 und 2;</w:t>
      </w:r>
    </w:p>
    <w:p>
      <w:pPr>
        <w:ind w:left="420"/>
      </w:pPr>
      <w:r>
        <w:t xml:space="preserve">7. Geld- und Wertpapierfälschung (§§ 146, 151 und 152), Fälschung von Zahlungskarten mit Garantiefunktion (§ 152b Abs. 1 bis 4) sowie deren Vorbereitung (§§ 149, 151, 152 und 152b Abs. 5);</w:t>
      </w:r>
    </w:p>
    <w:p>
      <w:pPr>
        <w:ind w:left="420"/>
      </w:pPr>
      <w:r>
        <w:t xml:space="preserve">8. Subventionsbetrug (§ 264);</w:t>
      </w:r>
    </w:p>
    <w:p>
      <w:pPr>
        <w:ind w:left="420"/>
      </w:pPr>
      <w:r>
        <w:t xml:space="preserve">9. Taten, die auf Grund eines für die Bundesrepublik Deutschland verbindlichen zwischenstaatlichen Abkommens auch dann zu verfolgen sind, wenn sie im Ausland begangen werden.</w:t>
      </w:r>
    </w:p>
    <w:p>
      <w:r>
        <w:rPr>
          <w:color w:val="555555"/>
          <w:sz w:val="17"/>
        </w:rPr>
        <w:t xml:space="preserve">Zitiervorschlag: § 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