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StGB — Voraussetzungen der Verwarnung mit Strafvorbehalt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jemand Geldstrafe bis zu einhundertachtzig Tagessätzen verwirkt, so kann das Gericht ihn neben dem Schuldspruch verwarnen, die Strafe bestimmen und die Verurteilung zu dieser Strafe vorbehalten, wenn</w:t>
      </w:r>
    </w:p>
    <w:p>
      <w:pPr>
        <w:ind w:left="420"/>
      </w:pPr>
      <w:r>
        <w:t xml:space="preserve">1. zu erwarten ist, daß der Täter künftig auch ohne Verurteilung zu Strafe keine Straftaten mehr begehen wird,</w:t>
      </w:r>
    </w:p>
    <w:p>
      <w:pPr>
        <w:ind w:left="420"/>
      </w:pPr>
      <w:r>
        <w:t xml:space="preserve">2. nach der Gesamtwürdigung von Tat und Persönlichkeit des Täters besondere Umstände vorliegen, die eine Verhängung von Strafe entbehrlich machen, und</w:t>
      </w:r>
    </w:p>
    <w:p>
      <w:pPr>
        <w:ind w:left="420"/>
      </w:pPr>
      <w:r>
        <w:t xml:space="preserve">3. die Verteidigung der Rechtsordnung die Verurteilung zu Strafe nicht gebietet.</w:t>
      </w:r>
    </w:p>
    <w:p>
      <w:r>
        <w:t xml:space="preserve">§ 56 Abs. 1 Satz 2 gilt entsprechend.</w:t>
      </w:r>
    </w:p>
    <w:p>
      <w:r>
        <w:t xml:space="preserve">(2) Neben der Verwarnung kann auf Einziehung oder Unbrauchbarmachung erkannt werden. Neben Maßregeln der Besserung und Sicherung ist die Verwarnung mit Strafvorbehalt nicht zulässig.</w:t>
      </w:r>
    </w:p>
    <w:p>
      <w:r>
        <w:rPr>
          <w:color w:val="555555"/>
          <w:sz w:val="17"/>
        </w:rPr>
        <w:t xml:space="preserve">Zitiervorschlag: § 59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