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56g StGB — Straferlaß</w:t>
      </w:r>
    </w:p>
    <w:p>
      <w:r>
        <w:rPr>
          <w:color w:val="555555"/>
          <w:sz w:val="18"/>
        </w:rPr>
        <w:t xml:space="preserve">Strafgesetzbuch</w:t>
      </w:r>
    </w:p>
    <w:p>
      <w:r>
        <w:rPr>
          <w:color w:val="555555"/>
          <w:sz w:val="18"/>
        </w:rPr>
        <w:t xml:space="preserve">Stand: 10.06.2019 (konsolidierte Textfassung, kein amtliches Inkrafttretensdatum)</w:t>
      </w:r>
    </w:p>
    <w:p>
      <w:r>
        <w:t xml:space="preserve">(1) Widerruft das Gericht die Strafaussetzung nicht, so erläßt es die Strafe nach Ablauf der Bewährungszeit. § 56f Abs. 3 Satz 1 ist anzuwenden.</w:t>
      </w:r>
    </w:p>
    <w:p>
      <w:r>
        <w:t xml:space="preserve">(2) Das Gericht kann den Straferlaß widerrufen, wenn der Verurteilte wegen einer in der Bewährungszeit begangenen vorsätzlichen Straftat zu Freiheitsstrafe von mindestens sechs Monaten verurteilt wird. Der Widerruf ist nur innerhalb von einem Jahr nach Ablauf der Bewährungszeit und von sechs Monaten nach Rechtskraft der Verurteilung zulässig. § 56f Abs. 1 Satz 2 und Abs. 3 gilt entsprechend.</w:t>
      </w:r>
    </w:p>
    <w:p>
      <w:r>
        <w:rPr>
          <w:color w:val="555555"/>
          <w:sz w:val="17"/>
        </w:rPr>
        <w:t xml:space="preserve">Zitiervorschlag: § 56g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