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StGB — Tatmehrheit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Hat jemand mehrere Straftaten begangen, die gleichzeitig abgeurteilt werden, und dadurch mehrere Freiheitsstrafen oder mehrere Geldstrafen verwirkt, so wird auf eine Gesamtstrafe erkannt.</w:t>
      </w:r>
    </w:p>
    <w:p>
      <w:r>
        <w:t xml:space="preserve">(2) Trifft Freiheitsstrafe mit Geldstrafe zusammen, so wird auf eine Gesamtstrafe erkannt. Jedoch kann das Gericht auf Geldstrafe auch gesondert erkennen; soll in diesen Fällen wegen mehrerer Straftaten Geldstrafe verhängt werden, so wird insoweit auf eine Gesamtgeldstrafe erkannt.</w:t>
      </w:r>
    </w:p>
    <w:p>
      <w:r>
        <w:t xml:space="preserve">(3) § 52 Abs. 3 und 4 gilt sinngemäß.</w:t>
      </w:r>
    </w:p>
    <w:p>
      <w:r>
        <w:rPr>
          <w:color w:val="555555"/>
          <w:sz w:val="17"/>
        </w:rPr>
        <w:t xml:space="preserve">Zitiervorschlag: § 53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