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StGB — Tateinheit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Verletzt dieselbe Handlung mehrere Strafgesetze oder dasselbe Strafgesetz mehrmals, so wird nur auf eine Strafe erkannt.</w:t>
      </w:r>
    </w:p>
    <w:p>
      <w:r>
        <w:t xml:space="preserve">(2) Sind mehrere Strafgesetze verletzt, so wird die Strafe nach dem Gesetz bestimmt, das die schwerste Strafe androht. Sie darf nicht milder sein, als die anderen anwendbaren Gesetze es zulassen.</w:t>
      </w:r>
    </w:p>
    <w:p>
      <w:r>
        <w:t xml:space="preserve">(3) Geldstrafe kann das Gericht unter den Voraussetzungen des § 41 neben Freiheitsstrafe gesondert verhängen.</w:t>
      </w:r>
    </w:p>
    <w:p>
      <w:r>
        <w:t xml:space="preserve">(4) Auf Nebenstrafen, Nebenfolgen und Maßnahmen (§ 11 Absatz 1 Nummer 8) muss oder kann erkannt werden, wenn eines der anwendbaren Gesetze dies vorschreibt oder zulässt.</w:t>
      </w:r>
    </w:p>
    <w:p>
      <w:r>
        <w:rPr>
          <w:color w:val="555555"/>
          <w:sz w:val="17"/>
        </w:rPr>
        <w:t xml:space="preserve">Zitiervorschlag: § 52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