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50 StGB — Zusammentreffen von Milderungsgründen</w:t>
      </w:r>
    </w:p>
    <w:p>
      <w:r>
        <w:rPr>
          <w:color w:val="555555"/>
          <w:sz w:val="18"/>
        </w:rPr>
        <w:t xml:space="preserve">Strafgesetzbuch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Ein Umstand, der allein oder mit anderen Umständen die Annahme eines minder schweren Falles begründet und der zugleich ein besonderer gesetzlicher Milderungsgrund nach § 49 ist, darf nur einmal berücksichtigt werden.</w:t>
      </w:r>
    </w:p>
    <w:p>
      <w:r>
        <w:rPr>
          <w:color w:val="555555"/>
          <w:sz w:val="17"/>
        </w:rPr>
        <w:t xml:space="preserve">Zitiervorschlag: § 50 StGB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https://recht.nulegal.eu/gesetze/StGB/50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