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46a StGB — Täter-Opfer-Ausgleich, Schadenswiedergutmachung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Täter</w:t>
      </w:r>
    </w:p>
    <w:p>
      <w:pPr>
        <w:ind w:left="420"/>
      </w:pPr>
      <w:r>
        <w:t xml:space="preserve">1. in dem Bemühen, einen Ausgleich mit dem Verletzten zu erreichen (Täter-Opfer-Ausgleich), seine Tat ganz oder zum überwiegenden Teil wiedergutgemacht oder deren Wiedergutmachung ernsthaft erstrebt oder</w:t>
      </w:r>
    </w:p>
    <w:p>
      <w:pPr>
        <w:ind w:left="420"/>
      </w:pPr>
      <w:r>
        <w:t xml:space="preserve">2. in einem Fall, in welchem die Schadenswiedergutmachung von ihm erhebliche persönliche Leistungen oder persönlichen Verzicht erfordert hat, das Opfer ganz oder zum überwiegenden Teil entschädigt,</w:t>
      </w:r>
    </w:p>
    <w:p>
      <w:r>
        <w:t xml:space="preserve">so kann das Gericht die Strafe nach § 49 Abs. 1 mildern oder, wenn keine höhere Strafe als Freiheitsstrafe bis zu einem Jahr oder Geldstrafe bis zu dreihundertsechzig Tagessätzen verwirkt ist, von Strafe absehen.</w:t>
      </w:r>
    </w:p>
    <w:p>
      <w:r>
        <w:rPr>
          <w:color w:val="555555"/>
          <w:sz w:val="17"/>
        </w:rPr>
        <w:t xml:space="preserve">Zitiervorschlag: § 46a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https://recht.nulegal.eu/gesetze/StGB/46a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