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45b StGB — Wiederverleihung von Fähigkeiten und Rechten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kann nach § 45 Abs. 1 und 2 verlorene Fähigkeiten und nach § 45 Abs. 5 verlorene Rechte wiederverleihen, wenn</w:t>
      </w:r>
    </w:p>
    <w:p>
      <w:pPr>
        <w:ind w:left="420"/>
      </w:pPr>
      <w:r>
        <w:t xml:space="preserve">1. der Verlust die Hälfte der Zeit, für die er dauern sollte, wirksam war und</w:t>
      </w:r>
    </w:p>
    <w:p>
      <w:pPr>
        <w:ind w:left="420"/>
      </w:pPr>
      <w:r>
        <w:t xml:space="preserve">2. zu erwarten ist, daß der Verurteilte künftig keine vorsätzlichen Straftaten mehr begehen wird.</w:t>
      </w:r>
    </w:p>
    <w:p>
      <w:r>
        <w:t xml:space="preserve">(2) In die Fristen wird die Zeit nicht eingerechnet, in welcher der Verurteilte auf behördliche Anordnung in einer Anstalt verwahrt worden ist.</w:t>
      </w:r>
    </w:p>
    <w:p>
      <w:r>
        <w:rPr>
          <w:color w:val="555555"/>
          <w:sz w:val="17"/>
        </w:rPr>
        <w:t xml:space="preserve">Zitiervorschlag: § 45b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https://recht.nulegal.eu/gesetze/StGB/45b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