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StGB — Dauer der Freiheitsstrafe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Freiheitsstrafe ist zeitig, wenn das Gesetz nicht lebenslange Freiheitsstrafe androht.</w:t>
      </w:r>
    </w:p>
    <w:p>
      <w:r>
        <w:t xml:space="preserve">(2) Das Höchstmaß der zeitigen Freiheitsstrafe ist fünfzehn Jahre, ihr Mindestmaß ein Monat.</w:t>
      </w:r>
    </w:p>
    <w:p>
      <w:r>
        <w:rPr>
          <w:color w:val="555555"/>
          <w:sz w:val="17"/>
        </w:rPr>
        <w:t xml:space="preserve">Zitiervorschlag: § 38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