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StGB — Parlamentarische Äußerungen</w:t>
      </w:r>
    </w:p>
    <w:p>
      <w:r>
        <w:rPr>
          <w:color w:val="555555"/>
          <w:sz w:val="18"/>
        </w:rPr>
        <w:t xml:space="preserve">Strafgesetzbuch</w:t>
      </w:r>
    </w:p>
    <w:p>
      <w:r>
        <w:rPr>
          <w:color w:val="555555"/>
          <w:sz w:val="18"/>
        </w:rPr>
        <w:t xml:space="preserve">Stand: 10.06.2019 (konsolidierte Textfassung, kein amtliches Inkrafttretensdatum)</w:t>
      </w:r>
    </w:p>
    <w:p>
      <w:r>
        <w:t xml:space="preserve">Mitglieder des Bundestages, der Bundesversammlung oder eines Gesetzgebungsorgans eines Landes dürfen zu keiner Zeit wegen ihrer Abstimmung oder wegen einer Äußerung, die sie in der Körperschaft oder in einem ihrer Ausschüsse getan haben, außerhalb der Körperschaft zur Verantwortung gezogen werden. Dies gilt nicht für verleumderische Beleidigungen.</w:t>
      </w:r>
    </w:p>
    <w:p>
      <w:r>
        <w:rPr>
          <w:color w:val="555555"/>
          <w:sz w:val="17"/>
        </w:rPr>
        <w:t xml:space="preserve">Zitiervorschlag: § 36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