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330c StGB — Einziehung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Straftat nach den §§ 326, 327 Abs. 1 oder 2, §§ 328, 329 Absatz 1, 2 oder Absatz 3, dieser auch in Verbindung mit Absatz 5, oder Absatz 4, dieser auch in Verbindung mit Absatz 6, begangen worden, so können</w:t>
      </w:r>
    </w:p>
    <w:p>
      <w:pPr>
        <w:ind w:left="420"/>
      </w:pPr>
      <w:r>
        <w:t xml:space="preserve">1. Gegenstände, die durch die Tat hervorgebracht oder zu ihrer Begehung oder Vorbereitung gebraucht worden oder bestimmt gewesen sind, und</w:t>
      </w:r>
    </w:p>
    <w:p>
      <w:pPr>
        <w:ind w:left="420"/>
      </w:pPr>
      <w:r>
        <w:t xml:space="preserve">2. Gegenstände, auf die sich die Tat bezieht,</w:t>
      </w:r>
    </w:p>
    <w:p>
      <w:r>
        <w:t xml:space="preserve">eingezogen werden. § 74a ist anzuwenden.</w:t>
      </w:r>
    </w:p>
    <w:p>
      <w:r>
        <w:rPr>
          <w:color w:val="555555"/>
          <w:sz w:val="17"/>
        </w:rPr>
        <w:t xml:space="preserve">Zitiervorschlag: § 330c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https://recht.nulegal.eu/gesetze/StGB/330c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