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330b StGB — Tätige Reue</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kann in den Fällen des § 325a Abs. 2, des § 326 Abs. 1 bis 3, des § 328 Abs. 1 bis 3 und des § 330a Abs. 1, 3 und 4 die Strafe nach seinem Ermessen mildern (§ 49 Abs. 2) oder von Strafe nach diesen Vorschriften absehen, wenn der Täter freiwillig die Gefahr abwendet oder den von ihm verursachten Zustand beseitigt, bevor ein erheblicher Schaden entsteht. Unter denselben Voraussetzungen wird der Täter nicht nach § 325a Abs. 3 Nr. 2, § 326 Abs. 5, § 328 Abs. 5 und § 330a Abs. 5 bestraft.</w:t>
      </w:r>
    </w:p>
    <w:p>
      <w:r>
        <w:t xml:space="preserve">(2) Wird ohne Zutun des Täters die Gefahr abgewendet oder der rechtswidrig verursachte Zustand beseitigt, so genügt sein freiwilliges und ernsthaftes Bemühen, dieses Ziel zu erreichen.</w:t>
      </w:r>
    </w:p>
    <w:p>
      <w:r>
        <w:rPr>
          <w:color w:val="555555"/>
          <w:sz w:val="17"/>
        </w:rPr>
        <w:t xml:space="preserve">Zitiervorschlag: § 330b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