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322 StGB — Einziehung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eine Straftat nach den §§ 306 bis 306c, 307 bis 314 oder 316c begangen worden, so können</w:t>
      </w:r>
    </w:p>
    <w:p>
      <w:pPr>
        <w:ind w:left="420"/>
      </w:pPr>
      <w:r>
        <w:t xml:space="preserve">1. Gegenstände, die durch die Tat hervorgebracht oder zu ihrer Begehung oder Vorbereitung gebraucht worden oder bestimmt gewesen sind, und</w:t>
      </w:r>
    </w:p>
    <w:p>
      <w:pPr>
        <w:ind w:left="420"/>
      </w:pPr>
      <w:r>
        <w:t xml:space="preserve">2. Gegenstände, auf die sich eine Straftat nach den §§ 310 bis 312, 314 oder 316c bezieht,</w:t>
      </w:r>
    </w:p>
    <w:p>
      <w:r>
        <w:t xml:space="preserve">eingezogen werden.</w:t>
      </w:r>
    </w:p>
    <w:p>
      <w:r>
        <w:rPr>
          <w:color w:val="555555"/>
          <w:sz w:val="17"/>
        </w:rPr>
        <w:t xml:space="preserve">Zitiervorschlag: § 322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https://recht.nulegal.eu/gesetze/StGB/322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