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321 StGB — Führungsaufsicht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15.01.2026 (konsolidierte Textfassung, kein amtliches Inkrafttretensdatum)</w:t>
      </w:r>
    </w:p>
    <w:p>
      <w:r>
        <w:t xml:space="preserve">In den Fällen der §§ 306 bis 306c und 307 Abs. 1 bis 3, des § 308 Absatz 1 bis 4, des § 309 Abs. 1 bis 4, des § 310 Abs. 1 und des § 316c Abs. 1 Nr. 2 kann das Gericht Führungsaufsicht anordnen (§ 68 Abs. 1).</w:t>
      </w:r>
    </w:p>
    <w:p>
      <w:r>
        <w:rPr>
          <w:color w:val="555555"/>
          <w:sz w:val="17"/>
        </w:rPr>
        <w:t xml:space="preserve">Zitiervorschlag: § 321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https://recht.nulegal.eu/gesetze/StGB/321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