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314 StGB — Gemeingefährliche Vergiftung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15.01.2026 (konsolidierte Textfassung, kein amtliches Inkrafttretensdatum)</w:t>
      </w:r>
    </w:p>
    <w:p>
      <w:r>
        <w:t xml:space="preserve">(1) Mit Freiheitsstrafe von einem Jahr bis zu zehn Jahren wird bestraft, wer</w:t>
      </w:r>
    </w:p>
    <w:p>
      <w:pPr>
        <w:ind w:left="420"/>
      </w:pPr>
      <w:r>
        <w:t xml:space="preserve">1. Wasser in gefaßten Quellen, in Brunnen, Leitungen oder Trinkwasserspeichern oder</w:t>
      </w:r>
    </w:p>
    <w:p>
      <w:pPr>
        <w:ind w:left="420"/>
      </w:pPr>
      <w:r>
        <w:t xml:space="preserve">2. Gegenstände, die zum öffentlichen Verkauf oder Verbrauch bestimmt sind,</w:t>
      </w:r>
    </w:p>
    <w:p>
      <w:r>
        <w:t xml:space="preserve">vergiftet oder ihnen gesundheitsschädliche Stoffe beimischt oder vergiftete oder mit gesundheitsschädlichen Stoffen vermischte Gegenstände im Sinne der Nummer 2 verkauft, feilhält oder sonst in den Verkehr bringt.</w:t>
      </w:r>
    </w:p>
    <w:p>
      <w:r>
        <w:t xml:space="preserve">(2) § 308 Absatz 2, 4 und 5 gilt entsprechend.</w:t>
      </w:r>
    </w:p>
    <w:p>
      <w:r>
        <w:rPr>
          <w:color w:val="555555"/>
          <w:sz w:val="17"/>
        </w:rPr>
        <w:t xml:space="preserve">Zitiervorschlag: § 314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https://recht.nulegal.eu/gesetze/StGB/314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