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306d StGB — Fahrlässige Brandstiftung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in den Fällen des § 306 Abs. 1 oder des § 306a Abs. 1 fahrlässig handelt oder in den Fällen des § 306a Abs. 2 die Gefahr fahrlässig verursacht, wird mit Freiheitsstrafe bis zu fünf Jahren oder mit Geldstrafe bestraft.</w:t>
      </w:r>
    </w:p>
    <w:p>
      <w:r>
        <w:t xml:space="preserve">(2) Wer in den Fällen des § 306a Abs. 2 fahrlässig handelt und die Gefahr fahrlässig verursacht, wird mit Freiheitsstrafe bis zu drei Jahren oder mit Geldstrafe bestraft.</w:t>
      </w:r>
    </w:p>
    <w:p>
      <w:r>
        <w:rPr>
          <w:color w:val="555555"/>
          <w:sz w:val="17"/>
        </w:rPr>
        <w:t xml:space="preserve">Zitiervorschlag: § 306d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https://recht.nulegal.eu/gesetze/StGB/306d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