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303 StGB — Sachbeschädigung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Wer rechtswidrig eine fremde Sache beschädigt oder zerstört, wird mit Freiheitsstrafe bis zu zwei Jahren oder mit Geldstrafe bestraft.</w:t>
      </w:r>
    </w:p>
    <w:p>
      <w:r>
        <w:t xml:space="preserve">(2) Ebenso wird bestraft, wer unbefugt das Erscheinungsbild einer fremden Sache nicht nur unerheblich und nicht nur vorübergehend verändert.</w:t>
      </w:r>
    </w:p>
    <w:p>
      <w:r>
        <w:t xml:space="preserve">(3) Der Versuch ist strafbar.</w:t>
      </w:r>
    </w:p>
    <w:p>
      <w:r>
        <w:rPr>
          <w:color w:val="555555"/>
          <w:sz w:val="17"/>
        </w:rPr>
        <w:t xml:space="preserve">Zitiervorschlag: § 303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https://recht.nulegal.eu/gesetze/StGB/303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