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301 StGB — Strafantrag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Bestechlichkeit und Bestechung im geschäftlichen Verkehr nach § 299 wird nur auf Antrag verfolgt, es sei denn, daß die Strafverfolgungsbehörde wegen des besonderen öffentlichen Interesses an der Strafverfolgung ein Einschreiten von Amts wegen für geboten hält.</w:t>
      </w:r>
    </w:p>
    <w:p>
      <w:r>
        <w:t xml:space="preserve">(2) Das Recht, den Strafantrag nach Absatz 1 zu stellen, haben in den Fällen des § 299 Absatz 1 Nummer 1 und Absatz 2 Nummer 1 neben dem Verletzten auch die in § 8 Absatz 3 Nummer 2 und 4 des Gesetzes gegen den unlauteren Wettbewerb bezeichneten Verbände und Kammern.</w:t>
      </w:r>
    </w:p>
    <w:p>
      <w:r>
        <w:rPr>
          <w:color w:val="555555"/>
          <w:sz w:val="17"/>
        </w:rPr>
        <w:t xml:space="preserve">Zitiervorschlag: § 301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https://recht.nulegal.eu/gesetze/StGB/301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