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297 StGB — Gefährdung von Schiffen, Kraft- und Luftfahrzeugen durch Bannware</w:t>
      </w:r>
    </w:p>
    <w:p>
      <w:r>
        <w:rPr>
          <w:color w:val="555555"/>
          <w:sz w:val="18"/>
        </w:rPr>
        <w:t xml:space="preserve">Strafgesetzbuch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Wer ohne Wissen des Reeders oder des Schiffsführers oder als Schiffsführer ohne Wissen des Reeders eine Sache an Bord eines deutschen Schiffes bringt oder nimmt, deren Beförderung</w:t>
      </w:r>
    </w:p>
    <w:p>
      <w:pPr>
        <w:ind w:left="420"/>
      </w:pPr>
      <w:r>
        <w:t xml:space="preserve">1. für das Schiff oder die Ladung die Gefahr einer Beschlagnahme oder Einziehung (§§ 74 bis 74f) oder</w:t>
      </w:r>
    </w:p>
    <w:p>
      <w:pPr>
        <w:ind w:left="420"/>
      </w:pPr>
      <w:r>
        <w:t xml:space="preserve">2. für den Reeder oder den Schiffsführer die Gefahr einer Bestrafung</w:t>
      </w:r>
    </w:p>
    <w:p>
      <w:r>
        <w:t xml:space="preserve">verursacht, wird mit Freiheitsstrafe bis zu zwei Jahren oder mit Geldstrafe bestraft.</w:t>
      </w:r>
    </w:p>
    <w:p>
      <w:r>
        <w:t xml:space="preserve">(2) Ebenso wird bestraft, wer als Reeder ohne Wissen des Schiffsführers eine Sache an Bord eines deutschen Schiffes bringt oder nimmt, deren Beförderung für den Schiffsführer die Gefahr einer Bestrafung verursacht.</w:t>
      </w:r>
    </w:p>
    <w:p>
      <w:r>
        <w:t xml:space="preserve">(3) Absatz 1 Nr. 1 gilt auch für ausländische Schiffe, die ihre Ladung ganz oder zum Teil im Inland genommen haben.</w:t>
      </w:r>
    </w:p>
    <w:p>
      <w:r>
        <w:t xml:space="preserve">(4) Die Absätze 1 bis 3 sind entsprechend anzuwenden, wenn Sachen in Kraft- oder Luftfahrzeuge gebracht oder genommen werden. An die Stelle des Reeders und des Schiffsführers treten der Halter und der Führer des Kraft- oder Luftfahrzeuges.</w:t>
      </w:r>
    </w:p>
    <w:p>
      <w:r>
        <w:rPr>
          <w:color w:val="555555"/>
          <w:sz w:val="17"/>
        </w:rPr>
        <w:t xml:space="preserve">Zitiervorschlag: § 297 StGB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https://recht.nulegal.eu/gesetze/StGB/297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