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293 StGB — Fischwilderei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unter Verletzung fremden Fischereirechts oder Fischereiausübungsrechts</w:t>
      </w:r>
    </w:p>
    <w:p>
      <w:pPr>
        <w:ind w:left="420"/>
      </w:pPr>
      <w:r>
        <w:t xml:space="preserve">1. fischt oder</w:t>
      </w:r>
    </w:p>
    <w:p>
      <w:pPr>
        <w:ind w:left="420"/>
      </w:pPr>
      <w:r>
        <w:t xml:space="preserve">2. eine Sache, die dem Fischereirecht unterliegt, sich oder einem Dritten zueignet, beschädigt oder zerstört,</w:t>
      </w:r>
    </w:p>
    <w:p>
      <w:r>
        <w:t xml:space="preserve">wird mit Freiheitsstrafe bis zu zwei Jahren oder mit Geldstrafe bestraft.</w:t>
      </w:r>
    </w:p>
    <w:p>
      <w:r>
        <w:rPr>
          <w:color w:val="555555"/>
          <w:sz w:val="17"/>
        </w:rPr>
        <w:t xml:space="preserve">Zitiervorschlag: § 293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https://recht.nulegal.eu/gesetze/StGB/293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