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292 StGB — Jagdwilderei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unter Verletzung fremden Jagdrechts oder Jagdausübungsrechts</w:t>
      </w:r>
    </w:p>
    <w:p>
      <w:pPr>
        <w:ind w:left="420"/>
      </w:pPr>
      <w:r>
        <w:t xml:space="preserve">1. dem Wild nachstellt, es fängt, erlegt oder sich oder einem Dritten zueignet oder</w:t>
      </w:r>
    </w:p>
    <w:p>
      <w:pPr>
        <w:ind w:left="420"/>
      </w:pPr>
      <w:r>
        <w:t xml:space="preserve">2. eine Sache, die dem Jagdrecht unterliegt, sich oder einem Dritten zueignet, beschädigt oder zerstört,</w:t>
      </w:r>
    </w:p>
    <w:p>
      <w:r>
        <w:t xml:space="preserve">wird mit Freiheitsstrafe bis zu drei Jahren oder mit Geldstrafe bestraft.</w:t>
      </w:r>
    </w:p>
    <w:p>
      <w:r>
        <w:t xml:space="preserve">(2) In besonders schweren Fällen ist die Strafe Freiheitsstrafe von drei Monaten bis zu fünf Jahren. Ein besonders schwerer Fall liegt in der Regel vor, wenn die Tat</w:t>
      </w:r>
    </w:p>
    <w:p>
      <w:pPr>
        <w:ind w:left="420"/>
      </w:pPr>
      <w:r>
        <w:t xml:space="preserve">1. gewerbs- oder gewohnheitsmäßig,</w:t>
      </w:r>
    </w:p>
    <w:p>
      <w:pPr>
        <w:ind w:left="420"/>
      </w:pPr>
      <w:r>
        <w:t xml:space="preserve">2. zur Nachtzeit, in der Schonzeit, unter Anwendung von Schlingen oder in anderer nicht weidmännischer Weise oder</w:t>
      </w:r>
    </w:p>
    <w:p>
      <w:pPr>
        <w:ind w:left="420"/>
      </w:pPr>
      <w:r>
        <w:t xml:space="preserve">3. von mehreren mit Schußwaffen ausgerüsteten Beteiligten gemeinschaftlich</w:t>
      </w:r>
    </w:p>
    <w:p>
      <w:r>
        <w:t xml:space="preserve">begangen wird.</w:t>
      </w:r>
    </w:p>
    <w:p>
      <w:r>
        <w:t xml:space="preserve">(3) Die Absätze 1 und 2 gelten nicht für die in einem Jagdbezirk zur Ausübung der Jagd befugten Personen hinsichtlich des Jagdrechts auf den zu diesem Jagdbezirk gehörenden nach § 6a des Bundesjagdgesetzes für befriedet erklärten Grundflächen.</w:t>
      </w:r>
    </w:p>
    <w:p>
      <w:r>
        <w:rPr>
          <w:color w:val="555555"/>
          <w:sz w:val="17"/>
        </w:rPr>
        <w:t xml:space="preserve">Zitiervorschlag: § 292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https://recht.nulegal.eu/gesetze/StGB/292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