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286 StGB — Einziehung</w:t>
      </w:r>
    </w:p>
    <w:p>
      <w:r>
        <w:rPr>
          <w:color w:val="555555"/>
          <w:sz w:val="18"/>
        </w:rPr>
        <w:t xml:space="preserve">Strafgesetzbuch</w:t>
      </w:r>
    </w:p>
    <w:p>
      <w:r>
        <w:rPr>
          <w:color w:val="555555"/>
          <w:sz w:val="18"/>
        </w:rPr>
        <w:t xml:space="preserve">Stand: 10.06.2019 (konsolidierte Textfassung, kein amtliches Inkrafttretensdatum)</w:t>
      </w:r>
    </w:p>
    <w:p>
      <w:r>
        <w:t xml:space="preserve">In den Fällen der §§ 284 und 285 werden die Spieleinrichtungen und das auf dem Spieltisch oder in der Bank vorgefundene Geld eingezogen, wenn sie dem Täter oder Teilnehmer zur Zeit der Entscheidung gehören. Andernfalls können die Gegenstände eingezogen werden; § 74a ist anzuwenden.</w:t>
      </w:r>
    </w:p>
    <w:p>
      <w:r>
        <w:rPr>
          <w:color w:val="555555"/>
          <w:sz w:val="17"/>
        </w:rPr>
        <w:t xml:space="preserve">Zitiervorschlag: § 286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