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283b StGB — Verletzung der Buchführungspflicht</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bis zu zwei Jahren oder mit Geldstrafe wird bestraft, wer</w:t>
      </w:r>
    </w:p>
    <w:p>
      <w:pPr>
        <w:ind w:left="420"/>
      </w:pPr>
      <w:r>
        <w:t xml:space="preserve">1. Handelsbücher, zu deren Führung er gesetzlich verpflichtet ist, zu führen unterläßt oder so führt oder verändert, daß die Übersicht über seinen Vermögensstand erschwert wird,</w:t>
      </w:r>
    </w:p>
    <w:p>
      <w:pPr>
        <w:ind w:left="420"/>
      </w:pPr>
      <w:r>
        <w:t xml:space="preserve">2. Handelsbücher oder sonstige Unterlagen, zu deren Aufbewahrung er nach Handelsrecht verpflichtet ist, vor Ablauf der gesetzlichen Aufbewahrungsfristen beiseite schafft, verheimlicht, zerstört oder beschädigt und dadurch die Übersicht über seinen Vermögensstand erschwert,</w:t>
      </w:r>
    </w:p>
    <w:p>
      <w:pPr>
        <w:ind w:left="420"/>
      </w:pPr>
      <w:r>
        <w:t xml:space="preserve">3. entgegen dem Handelsrecht</w:t>
      </w:r>
    </w:p>
    <w:p>
      <w:pPr>
        <w:ind w:left="780"/>
      </w:pPr>
      <w:r>
        <w:t xml:space="preserve">a) Bilanzen so aufstellt, daß die Übersicht über seinen Vermögensstand erschwert wird, oder</w:t>
      </w:r>
    </w:p>
    <w:p>
      <w:pPr>
        <w:ind w:left="780"/>
      </w:pPr>
      <w:r>
        <w:t xml:space="preserve">b) es unterläßt, die Bilanz seines Vermögens oder das Inventar in der vorgeschriebenen Zeit aufzustellen.</w:t>
      </w:r>
    </w:p>
    <w:p>
      <w:r>
        <w:t xml:space="preserve">(2) Wer in den Fällen des Absatzes 1 Nr. 1 oder 3 fahrlässig handelt, wird mit Freiheitsstrafe bis zu einem Jahr oder mit Geldstrafe bestraft.</w:t>
      </w:r>
    </w:p>
    <w:p>
      <w:r>
        <w:t xml:space="preserve">(3) § 283 Abs. 6 gilt entsprechend.</w:t>
      </w:r>
    </w:p>
    <w:p>
      <w:r>
        <w:rPr>
          <w:color w:val="555555"/>
          <w:sz w:val="17"/>
        </w:rPr>
        <w:t xml:space="preserve">Zitiervorschlag: § 283b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https://recht.nulegal.eu/gesetze/StGB/283b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