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283a StGB — Besonders schwerer Fall des Bankrotts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besonders schweren Fällen des § 283 Abs. 1 bis 3 wird der Bankrott mit Freiheitsstrafe von sechs Monaten bis zu zehn Jahren bestraft. Ein besonders schwerer Fall liegt in der Regel vor, wenn der Täter</w:t>
      </w:r>
    </w:p>
    <w:p>
      <w:pPr>
        <w:ind w:left="420"/>
      </w:pPr>
      <w:r>
        <w:t xml:space="preserve">1. aus Gewinnsucht handelt oder</w:t>
      </w:r>
    </w:p>
    <w:p>
      <w:pPr>
        <w:ind w:left="420"/>
      </w:pPr>
      <w:r>
        <w:t xml:space="preserve">2. wissentlich viele Personen in die Gefahr des Verlustes ihrer ihm anvertrauten Vermögenswerte oder in wirtschaftliche Not bringt.</w:t>
      </w:r>
    </w:p>
    <w:p>
      <w:r>
        <w:rPr>
          <w:color w:val="555555"/>
          <w:sz w:val="17"/>
        </w:rPr>
        <w:t xml:space="preserve">Zitiervorschlag: § 283a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https://recht.nulegal.eu/gesetze/StGB/283a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