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StGB — Besondere persönliche Merkmale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Fehlen besondere persönliche Merkmale (§ 14 Abs. 1), welche die Strafbarkeit des Täters begründen, beim Teilnehmer (Anstifter oder Gehilfe), so ist dessen Strafe nach § 49 Abs. 1 zu mildern.</w:t>
      </w:r>
    </w:p>
    <w:p>
      <w:r>
        <w:t xml:space="preserve">(2) Bestimmt das Gesetz, daß besondere persönliche Merkmale die Strafe schärfen, mildern oder ausschließen, so gilt das nur für den Beteiligten (Täter oder Teilnehmer), bei dem sie vorliegen.</w:t>
      </w:r>
    </w:p>
    <w:p>
      <w:r>
        <w:rPr>
          <w:color w:val="555555"/>
          <w:sz w:val="17"/>
        </w:rPr>
        <w:t xml:space="preserve">Zitiervorschlag: § 28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