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273 StGB — Verändern von amtlichen Ausweisen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zur Täuschung im Rechtsverkehr</w:t>
      </w:r>
    </w:p>
    <w:p>
      <w:pPr>
        <w:ind w:left="420"/>
      </w:pPr>
      <w:r>
        <w:t xml:space="preserve">1. eine Eintragung in einem amtlichen Ausweis entfernt, unkenntlich macht, überdeckt oder unterdrückt oder eine einzelne Seite aus einem amtlichen Ausweis entfernt oder</w:t>
      </w:r>
    </w:p>
    <w:p>
      <w:pPr>
        <w:ind w:left="420"/>
      </w:pPr>
      <w:r>
        <w:t xml:space="preserve">2. einen derart veränderten amtlichen Ausweis gebraucht,</w:t>
      </w:r>
    </w:p>
    <w:p>
      <w:r>
        <w:t xml:space="preserve">wird mit Freiheitsstrafe bis zu drei Jahren oder mit Geldstrafe bestraft, wenn die Tat nicht in § 267 oder § 274 mit Strafe bedroht ist.</w:t>
      </w:r>
    </w:p>
    <w:p>
      <w:r>
        <w:t xml:space="preserve">(2) Der Versuch ist strafbar.</w:t>
      </w:r>
    </w:p>
    <w:p>
      <w:r>
        <w:rPr>
          <w:color w:val="555555"/>
          <w:sz w:val="17"/>
        </w:rPr>
        <w:t xml:space="preserve">Zitiervorschlag: § 273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