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230 StGB — Strafantrag</w:t>
      </w:r>
    </w:p>
    <w:p>
      <w:r>
        <w:rPr>
          <w:color w:val="555555"/>
          <w:sz w:val="18"/>
        </w:rPr>
        <w:t xml:space="preserve">Strafgesetzbuch</w:t>
      </w:r>
    </w:p>
    <w:p>
      <w:r>
        <w:rPr>
          <w:color w:val="555555"/>
          <w:sz w:val="18"/>
        </w:rPr>
        <w:t xml:space="preserve">Stand: 10.06.2019 (konsolidierte Textfassung, kein amtliches Inkrafttretensdatum)</w:t>
      </w:r>
    </w:p>
    <w:p>
      <w:r>
        <w:t xml:space="preserve">(1) Die vorsätzliche Körperverletzung nach § 223 und die fahrlässige Körperverletzung nach § 229 werden nur auf Antrag verfolgt, es sei denn, daß die Strafverfolgungsbehörde wegen des besonderen öffentlichen Interesses an der Strafverfolgung ein Einschreiten von Amts wegen für geboten hält. Stirbt die verletzte Person, so geht bei vorsätzlicher Körperverletzung das Antragsrecht nach § 77 Abs. 2 auf die Angehörigen über.</w:t>
      </w:r>
    </w:p>
    <w:p>
      <w:r>
        <w:t xml:space="preserve">(2) Ist die Tat gegen einen Amtsträger, einen für den öffentlichen Dienst besonders Verpflichteten oder einen Soldaten der Bundeswehr während der Ausübung seines Dienstes oder in Beziehung auf seinen Dienst begangen, so wird sie auch auf Antrag des Dienstvorgesetzten verfolgt. Dasselbe gilt für Träger von Ämtern der Kirchen und anderen Religionsgesellschaften des öffentlichen Rechts.</w:t>
      </w:r>
    </w:p>
    <w:p>
      <w:r>
        <w:rPr>
          <w:color w:val="555555"/>
          <w:sz w:val="17"/>
        </w:rPr>
        <w:t xml:space="preserve">Zitiervorschlag: § 230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https://recht.nulegal.eu/gesetze/StGB/230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