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227 StGB — Körperverletzung mit Todesfolge</w:t>
      </w:r>
    </w:p>
    <w:p>
      <w:r>
        <w:rPr>
          <w:color w:val="555555"/>
          <w:sz w:val="18"/>
        </w:rPr>
        <w:t xml:space="preserve">Strafgesetzbuch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Verursacht der Täter durch die Körperverletzung (§§ 223 bis 226a) den Tod der verletzten Person, so ist die Strafe Freiheitsstrafe nicht unter drei Jahren.</w:t>
      </w:r>
    </w:p>
    <w:p>
      <w:r>
        <w:t xml:space="preserve">(2) In minder schweren Fällen ist auf Freiheitsstrafe von einem Jahr bis zu zehn Jahren zu erkennen.</w:t>
      </w:r>
    </w:p>
    <w:p>
      <w:r>
        <w:rPr>
          <w:color w:val="555555"/>
          <w:sz w:val="17"/>
        </w:rPr>
        <w:t xml:space="preserve">Zitiervorschlag: § 227 StGB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https://recht.nulegal.eu/gesetze/StGB/227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