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180 StGB — Förderung sexueller Handlungen Minderjähriger</w:t>
      </w:r>
    </w:p>
    <w:p>
      <w:r>
        <w:rPr>
          <w:color w:val="555555"/>
          <w:sz w:val="18"/>
        </w:rPr>
        <w:t xml:space="preserve">Strafgesetzbuch</w:t>
      </w:r>
    </w:p>
    <w:p>
      <w:r>
        <w:rPr>
          <w:color w:val="555555"/>
          <w:sz w:val="18"/>
        </w:rPr>
        <w:t xml:space="preserve">Stand: 01.07.2021 (konsolidierte Textfassung, kein amtliches Inkrafttretensdatum)</w:t>
      </w:r>
    </w:p>
    <w:p>
      <w:r>
        <w:t xml:space="preserve">(1) Wer sexuellen Handlungen einer Person unter sechzehn Jahren an oder vor einem Dritten oder sexuellen Handlungen eines Dritten an einer Person unter sechzehn Jahren</w:t>
      </w:r>
    </w:p>
    <w:p>
      <w:pPr>
        <w:ind w:left="420"/>
      </w:pPr>
      <w:r>
        <w:t xml:space="preserve">1. durch seine Vermittlung oder</w:t>
      </w:r>
    </w:p>
    <w:p>
      <w:pPr>
        <w:ind w:left="420"/>
      </w:pPr>
      <w:r>
        <w:t xml:space="preserve">2. durch Gewähren oder Verschaffen von Gelegenheit</w:t>
      </w:r>
    </w:p>
    <w:p>
      <w:r>
        <w:t xml:space="preserve">Vorschub leistet, wird mit Freiheitsstrafe bis zu drei Jahren oder mit Geldstrafe bestraft. Satz 1 Nr. 2 ist nicht anzuwenden, wenn der zur Sorge für die Person Berechtigte handelt; dies gilt nicht, wenn der Sorgeberechtigte durch das Vorschubleisten seine Erziehungspflicht gröblich verletzt.</w:t>
      </w:r>
    </w:p>
    <w:p>
      <w:r>
        <w:t xml:space="preserve">(2) Wer eine Person unter achtzehn Jahren bestimmt, sexuelle Handlungen gegen Entgelt an oder vor einem Dritten vorzunehmen oder von einem Dritten an sich vornehmen zu lassen, oder wer solchen Handlungen durch seine Vermittlung Vorschub leistet, wird mit Freiheitsstrafe bis zu fünf Jahren oder mit Geldstrafe bestraft.</w:t>
      </w:r>
    </w:p>
    <w:p>
      <w:r>
        <w:t xml:space="preserve">(3) Im Fall des Absatzes 2 ist der Versuch strafbar.</w:t>
      </w:r>
    </w:p>
    <w:p>
      <w:r>
        <w:rPr>
          <w:color w:val="555555"/>
          <w:sz w:val="17"/>
        </w:rPr>
        <w:t xml:space="preserve">Zitiervorschlag: § 180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180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