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176c StGB — Schwerer sexueller Missbrauch von Kindern</w:t>
      </w:r>
    </w:p>
    <w:p>
      <w:r>
        <w:rPr>
          <w:color w:val="555555"/>
          <w:sz w:val="18"/>
        </w:rPr>
        <w:t xml:space="preserve">Strafgesetzbuch</w:t>
      </w:r>
    </w:p>
    <w:p>
      <w:r>
        <w:rPr>
          <w:color w:val="555555"/>
          <w:sz w:val="18"/>
        </w:rPr>
        <w:t xml:space="preserve">Stand: 01.07.2021 (konsolidierte Textfassung, kein amtliches Inkrafttretensdatum)</w:t>
      </w:r>
    </w:p>
    <w:p>
      <w:r>
        <w:t xml:space="preserve">(1) Der sexuelle Missbrauch von Kindern wird in den Fällen des § 176 Absatz 1 Nummer 1 und 2 mit Freiheitsstrafe nicht unter zwei Jahren bestraft, wenn</w:t>
      </w:r>
    </w:p>
    <w:p>
      <w:pPr>
        <w:ind w:left="420"/>
      </w:pPr>
      <w:r>
        <w:t xml:space="preserve">1. der Täter innerhalb der letzten fünf Jahre wegen einer solchen Straftat rechtskräftig verurteilt worden ist,</w:t>
      </w:r>
    </w:p>
    <w:p>
      <w:pPr>
        <w:ind w:left="420"/>
      </w:pPr>
      <w:r>
        <w:t xml:space="preserve">2. der Täter mindestens achtzehn Jahre alt ist und</w:t>
      </w:r>
    </w:p>
    <w:p>
      <w:pPr>
        <w:ind w:left="780"/>
      </w:pPr>
      <w:r>
        <w:t xml:space="preserve">a) mit dem Kind den Beischlaf vollzieht oder ähnliche sexuelle Handlungen an ihm vornimmt oder an sich von ihm vornehmen lässt, die mit einem Eindringen in den Körper verbunden sind, oder</w:t>
      </w:r>
    </w:p>
    <w:p>
      <w:pPr>
        <w:ind w:left="780"/>
      </w:pPr>
      <w:r>
        <w:t xml:space="preserve">b) das Kind dazu bestimmt, den Beischlaf mit einem Dritten zu vollziehen oder ähnliche sexuelle Handlungen, die mit einem Eindringen in den Körper verbunden sind, an dem Dritten vorzunehmen oder von diesem an sich vornehmen zu lassen,</w:t>
      </w:r>
    </w:p>
    <w:p>
      <w:pPr>
        <w:ind w:left="420"/>
      </w:pPr>
      <w:r>
        <w:t xml:space="preserve">3. die Tat von mehreren gemeinschaftlich begangen wird oder</w:t>
      </w:r>
    </w:p>
    <w:p>
      <w:pPr>
        <w:ind w:left="420"/>
      </w:pPr>
      <w:r>
        <w:t xml:space="preserve">4. der Täter das Kind durch die Tat in die Gefahr einer schweren Gesundheitsschädigung oder einer erheblichen Schädigung der körperlichen oder seelischen Entwicklung bringt.</w:t>
      </w:r>
    </w:p>
    <w:p>
      <w:r>
        <w:t xml:space="preserve">(2) Ebenso wird bestraft, wer in den Fällen des § 176 Absatz 1 Nummer 1 oder Nummer 2, des § 176a Absatz 1 Nummer 1 oder Nummer 2 oder Absatz 3 Satz 1 als Täter oder anderer Beteiligter in der Absicht handelt, die Tat zum Gegenstand eines pornographischen Inhalts (§ 11 Absatz 3) zu machen, der nach § 184b Absatz 1 oder 2 verbreitet werden soll.</w:t>
      </w:r>
    </w:p>
    <w:p>
      <w:r>
        <w:t xml:space="preserve">(3) Mit Freiheitsstrafe nicht unter fünf Jahren wird bestraft, wer das Kind in den Fällen des § 176 Absatz 1 Nummer 1 oder Nummer 2 bei der Tat körperlich schwer misshandelt oder durch die Tat in die Gefahr des Todes bringt.</w:t>
      </w:r>
    </w:p>
    <w:p>
      <w:r>
        <w:t xml:space="preserve">(4) In die in Absatz 1 Nummer 1 bezeichnete Frist wird die Zeit nicht eingerechnet, in welcher der Täter auf behördliche Anordnung in einer Anstalt verwahrt worden ist. Eine Tat, die im Ausland abgeurteilt worden ist, steht in den Fällen des Absatzes 1 Nummer 1 einer im Inland abgeurteilten Tat gleich, wenn sie nach deutschem Strafrecht eine solche nach § 176 Absatz 1 Nummer 1 oder Nummer 2 wäre.</w:t>
      </w:r>
    </w:p>
    <w:p>
      <w:r>
        <w:rPr>
          <w:color w:val="555555"/>
          <w:sz w:val="17"/>
        </w:rPr>
        <w:t xml:space="preserve">Zitiervorschlag: § 176c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https://recht.nulegal.eu/gesetze/StGB/176c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