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167 StGB — Störung der Religionsausübung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</w:t>
      </w:r>
    </w:p>
    <w:p>
      <w:pPr>
        <w:ind w:left="420"/>
      </w:pPr>
      <w:r>
        <w:t xml:space="preserve">1. den Gottesdienst oder eine gottesdienstliche Handlung einer im Inland bestehenden Kirche oder anderen Religionsgesellschaft absichtlich und in grober Weise stört oder</w:t>
      </w:r>
    </w:p>
    <w:p>
      <w:pPr>
        <w:ind w:left="420"/>
      </w:pPr>
      <w:r>
        <w:t xml:space="preserve">2. an einem Ort, der dem Gottesdienst einer solchen Religionsgesellschaft gewidmet ist, beschimpfenden Unfug verübt,</w:t>
      </w:r>
    </w:p>
    <w:p>
      <w:r>
        <w:t xml:space="preserve">wird mit Freiheitsstrafe bis zu drei Jahren oder mit Geldstrafe bestraft.</w:t>
      </w:r>
    </w:p>
    <w:p>
      <w:r>
        <w:t xml:space="preserve">(2) Dem Gottesdienst stehen entsprechende Feiern einer im Inland bestehenden Weltanschauungsvereinigung gleich.</w:t>
      </w:r>
    </w:p>
    <w:p>
      <w:r>
        <w:rPr>
          <w:color w:val="555555"/>
          <w:sz w:val="17"/>
        </w:rPr>
        <w:t xml:space="preserve">Zitiervorschlag: § 167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https://recht.nulegal.eu/gesetze/StGB/167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