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161 StGB — Fahrlässiger Falscheid; fahrlässige falsche Versicherung an Eides Statt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Wenn eine der in den §§ 154 bis 156 bezeichneten Handlungen aus Fahrlässigkeit begangen worden ist, so tritt Freiheitsstrafe bis zu einem Jahr oder Geldstrafe ein.</w:t>
      </w:r>
    </w:p>
    <w:p>
      <w:r>
        <w:t xml:space="preserve">(2) Straflosigkeit tritt ein, wenn der Täter die falsche Angabe rechtzeitig berichtigt. Die Vorschriften des § 158 Abs. 2 und 3 gelten entsprechend.</w:t>
      </w:r>
    </w:p>
    <w:p>
      <w:r>
        <w:rPr>
          <w:color w:val="555555"/>
          <w:sz w:val="17"/>
        </w:rPr>
        <w:t xml:space="preserve">Zitiervorschlag: § 161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