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StGB — Irrtum über Tatumstände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bei Begehung der Tat einen Umstand nicht kennt, der zum gesetzlichen Tatbestand gehört, handelt nicht vorsätzlich. Die Strafbarkeit wegen fahrlässiger Begehung bleibt unberührt.</w:t>
      </w:r>
    </w:p>
    <w:p>
      <w:r>
        <w:t xml:space="preserve">(2) Wer bei Begehung der Tat irrig Umstände annimmt, welche den Tatbestand eines milderen Gesetzes verwirklichen würden, kann wegen vorsätzlicher Begehung nur nach dem milderen Gesetz bestraft werden.</w:t>
      </w:r>
    </w:p>
    <w:p>
      <w:r>
        <w:rPr>
          <w:color w:val="555555"/>
          <w:sz w:val="17"/>
        </w:rPr>
        <w:t xml:space="preserve">Zitiervorschlag: § 16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