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StGB — Belohnung und Billigung von Straftaten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Wer eine der in § 138 Absatz 1 Nummer 2 bis 4 und 5 letzte Alternative oder in § 126 Absatz 1 genannten rechtswidrigen Taten oder eine rechtswidrige Tat nach § 176 Absatz 1 oder nach den §§ 176c und 176d</w:t>
      </w:r>
    </w:p>
    <w:p>
      <w:pPr>
        <w:ind w:left="420"/>
      </w:pPr>
      <w:r>
        <w:t xml:space="preserve">1. belohnt, nachdem sie begangen oder in strafbarer Weise versucht worden ist, oder</w:t>
      </w:r>
    </w:p>
    <w:p>
      <w:pPr>
        <w:ind w:left="420"/>
      </w:pPr>
      <w:r>
        <w:t xml:space="preserve">2. in einer Weise, die geeignet ist, den öffentlichen Frieden zu stören, öffentlich, in einer Versammlung oder durch Verbreiten eines Inhalts (§ 11 Absatz 3) billigt,</w:t>
      </w:r>
    </w:p>
    <w:p>
      <w:r>
        <w:t xml:space="preserve">wird mit Freiheitsstrafe bis zu drei Jahren oder mit Geldstrafe bestraft.</w:t>
      </w:r>
    </w:p>
    <w:p>
      <w:r>
        <w:rPr>
          <w:color w:val="555555"/>
          <w:sz w:val="17"/>
        </w:rPr>
        <w:t xml:space="preserve">Zitiervorschlag: § 140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