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134 StGB — Verletzung amtlicher Bekanntmachungen</w:t>
      </w:r>
    </w:p>
    <w:p>
      <w:r>
        <w:rPr>
          <w:color w:val="555555"/>
          <w:sz w:val="18"/>
        </w:rPr>
        <w:t xml:space="preserve">Strafgesetzbuch</w:t>
      </w:r>
    </w:p>
    <w:p>
      <w:r>
        <w:rPr>
          <w:color w:val="555555"/>
          <w:sz w:val="18"/>
        </w:rPr>
        <w:t xml:space="preserve">Stand: 10.06.2019 (konsolidierte Textfassung, kein amtliches Inkrafttretensdatum)</w:t>
      </w:r>
    </w:p>
    <w:p>
      <w:r>
        <w:t xml:space="preserve">Wer wissentlich ein dienstliches Schriftstück, das zur Bekanntmachung öffentlich angeschlagen oder ausgelegt ist, zerstört, beseitigt, verunstaltet, unkenntlich macht oder in seinem Sinn entstellt, wird mit Freiheitsstrafe bis zu einem Jahr oder mit Geldstrafe bestraft.</w:t>
      </w:r>
    </w:p>
    <w:p>
      <w:r>
        <w:rPr>
          <w:color w:val="555555"/>
          <w:sz w:val="17"/>
        </w:rPr>
        <w:t xml:space="preserve">Zitiervorschlag: § 134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134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