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126 StGB — Störung des öffentlichen Friedens durch Androhung von Straftaten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Wer in einer Weise, die geeignet ist, den öffentlichen Frieden zu stören,</w:t>
      </w:r>
    </w:p>
    <w:p>
      <w:pPr>
        <w:ind w:left="420"/>
      </w:pPr>
      <w:r>
        <w:t xml:space="preserve">1. einen der in § 125a Satz 2 Nr. 1 bis 4 bezeichneten Fälle des Landfriedensbruchs,</w:t>
      </w:r>
    </w:p>
    <w:p>
      <w:pPr>
        <w:ind w:left="420"/>
      </w:pPr>
      <w:r>
        <w:t xml:space="preserve">2. eine Straftat gegen die sexuelle Selbstbestimmung in den Fällen des § 177 Absatz 4 bis 8 oder des § 178,</w:t>
      </w:r>
    </w:p>
    <w:p>
      <w:pPr>
        <w:ind w:left="420"/>
      </w:pPr>
      <w:r>
        <w:t xml:space="preserve">3. einen Mord (§ 211), Totschlag (§ 212) oder Völkermord (§ 6 des Völkerstrafgesetzbuches) oder ein Verbrechen gegen die Menschlichkeit (§ 7 des Völkerstrafgesetzbuches) oder ein Kriegsverbrechen (§§ 8, 9, 10, 11 oder 12 des Völkerstrafgesetzbuches),</w:t>
      </w:r>
    </w:p>
    <w:p>
      <w:pPr>
        <w:ind w:left="420"/>
      </w:pPr>
      <w:r>
        <w:t xml:space="preserve">4. eine gefährliche Körperverletzung (§ 224) oder eine schwere Körperverletzung (§ 226),</w:t>
      </w:r>
    </w:p>
    <w:p>
      <w:pPr>
        <w:ind w:left="420"/>
      </w:pPr>
      <w:r>
        <w:t xml:space="preserve">5. eine Straftat gegen die persönliche Freiheit in den Fällen des § 232 Absatz 3 Satz 2, des § 232a Absatz 3, 4 oder 5, des § 232b Absatz 3 oder 4, des § 233a Absatz 3 oder 4, jeweils soweit es sich um Verbrechen handelt, der §§ 234 bis 234b, 239a oder 239b,</w:t>
      </w:r>
    </w:p>
    <w:p>
      <w:pPr>
        <w:ind w:left="420"/>
      </w:pPr>
      <w:r>
        <w:t xml:space="preserve">6. einen Raub oder eine räuberische Erpressung (§§ 249 bis 251 oder 255),</w:t>
      </w:r>
    </w:p>
    <w:p>
      <w:pPr>
        <w:ind w:left="420"/>
      </w:pPr>
      <w:r>
        <w:t xml:space="preserve">7. ein gemeingefährliches Verbrechen in den Fällen der §§ 306 bis 306c oder 307 Abs. 1 bis 3, des § 308 Absatz 1 bis 4, des § 309 Abs. 1 bis 4, der §§ 313, 314 oder 315 Abs. 3, des § 315b Abs. 3, des § 316a Abs. 1 oder 3, des § 316c Abs. 1 oder 3 oder des § 318 Abs. 3 oder 4 oder</w:t>
      </w:r>
    </w:p>
    <w:p>
      <w:pPr>
        <w:ind w:left="420"/>
      </w:pPr>
      <w:r>
        <w:t xml:space="preserve">8. ein gemeingefährliches Vergehen in den Fällen des § 309 Abs. 6, des § 311 Abs. 1, des § 316b Abs. 1, des § 317 Abs. 1 oder des § 318 Abs. 1</w:t>
      </w:r>
    </w:p>
    <w:p>
      <w:r>
        <w:t xml:space="preserve">androht, wird mit Freiheitsstrafe bis zu drei Jahren oder mit Geldstrafe bestraft.</w:t>
      </w:r>
    </w:p>
    <w:p>
      <w:r>
        <w:t xml:space="preserve">(2) Ebenso wird bestraft, wer in einer Weise, die geeignet ist, den öffentlichen Frieden zu stören, wider besseres Wissen vortäuscht, die Verwirklichung einer der in Absatz 1 genannten rechtswidrigen Taten stehe bevor.</w:t>
      </w:r>
    </w:p>
    <w:p>
      <w:r>
        <w:rPr>
          <w:color w:val="555555"/>
          <w:sz w:val="17"/>
        </w:rPr>
        <w:t xml:space="preserve">Zitiervorschlag: § 126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126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