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104a StGB — Voraussetzungen der Strafverfolgung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25.06.2020 (konsolidierte Textfassung, kein amtliches Inkrafttretensdatum)</w:t>
      </w:r>
    </w:p>
    <w:p>
      <w:r>
        <w:t xml:space="preserve">Straftaten nach diesem Abschnitt werden nur verfolgt, wenn die Bundesrepublik Deutschland zu dem anderen Staat diplomatische Beziehungen unterhält und ein Strafverlangen der ausländischen Regierung vorliegt.</w:t>
      </w:r>
    </w:p>
    <w:p>
      <w:r>
        <w:rPr>
          <w:color w:val="555555"/>
          <w:sz w:val="17"/>
        </w:rPr>
        <w:t xml:space="preserve">Zitiervorschlag: § 104a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https://recht.nulegal.eu/gesetze/StGB/104a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