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100a StGB — Landesverräterische Fälschung</w:t>
      </w:r>
    </w:p>
    <w:p>
      <w:r>
        <w:rPr>
          <w:color w:val="555555"/>
          <w:sz w:val="18"/>
        </w:rPr>
        <w:t xml:space="preserve">Strafgesetzbuch</w:t>
      </w:r>
    </w:p>
    <w:p>
      <w:r>
        <w:rPr>
          <w:color w:val="555555"/>
          <w:sz w:val="18"/>
        </w:rPr>
        <w:t xml:space="preserve">Stand: 10.06.2019 (konsolidierte Textfassung, kein amtliches Inkrafttretensdatum)</w:t>
      </w:r>
    </w:p>
    <w:p>
      <w:r>
        <w:t xml:space="preserve">(1) Wer wider besseres Wissen gefälschte oder verfälschte Gegenstände, Nachrichten darüber oder unwahre Behauptungen tatsächlicher Art, die im Falle ihrer Echtheit oder Wahrheit für die äußere Sicherheit oder die Beziehungen der Bundesrepublik Deutschland zu einer fremden Macht von Bedeutung wären, an einen anderen gelangen läßt oder öffentlich bekanntmacht, um einer fremden Macht vorzutäuschen, daß es sich um echte Gegenstände oder um Tatsachen handele, und dadurch die Gefahr eines schweren Nachteils für die äußere Sicherheit oder die Beziehungen der Bundesrepublik Deutschland zu einer fremden Macht herbeiführt, wird mit Freiheitsstrafe von sechs Monaten bis zu fünf Jahren bestraft.</w:t>
      </w:r>
    </w:p>
    <w:p>
      <w:r>
        <w:t xml:space="preserve">(2) Ebenso wird bestraft, wer solche Gegenstände durch Fälschung oder Verfälschung herstellt oder sie sich verschafft, um sie in der in Absatz 1 bezeichneten Weise zur Täuschung einer fremden Macht an einen anderen gelangen zu lassen oder öffentlich bekanntzumachen und dadurch die Gefahr eines schweren Nachteils für die äußere Sicherheit oder die Beziehungen der Bundesrepublik Deutschland zu einer fremden Macht herbeizuführen.</w:t>
      </w:r>
    </w:p>
    <w:p>
      <w:r>
        <w:t xml:space="preserve">(3) Der Versuch ist strafbar.</w:t>
      </w:r>
    </w:p>
    <w:p>
      <w:r>
        <w:t xml:space="preserve">(4) In besonders schweren Fällen ist die Strafe Freiheitsstrafe nicht unter einem Jahr. Ein besonders schwerer Fall liegt in der Regel vor, wenn der Täter durch die Tat einen besonders schweren Nachteil für die äußere Sicherheit oder die Beziehungen der Bundesrepublik Deutschland zu einer fremden Macht herbeiführt.</w:t>
      </w:r>
    </w:p>
    <w:p>
      <w:r>
        <w:rPr>
          <w:color w:val="555555"/>
          <w:sz w:val="17"/>
        </w:rPr>
        <w:t xml:space="preserve">Zitiervorschlag: § 100a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