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StGB — Friedensgefährdende Beziehungen</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Deutscher, der seine Lebensgrundlage im räumlichen Geltungsbereich dieses Gesetzes hat, in der Absicht, einen Krieg oder ein bewaffnetes Unternehmen gegen die Bundesrepublik Deutschland herbeizuführen, zu einer Regierung, Vereinigung oder Einrichtung außerhalb des räumlichen Geltungsbereichs dieses Gesetzes oder zu einem ihrer Mittelsmänner Beziehungen aufnimmt oder unterhält, wird mit Freiheitsstrafe nicht unter einem Jahr bestraft.</w:t>
      </w:r>
    </w:p>
    <w:p>
      <w:r>
        <w:t xml:space="preserve">(2) In besonders schweren Fällen ist die Strafe lebenslange Freiheitsstrafe oder Freiheitsstrafe nicht unter fünf Jahren. Ein besonders schwerer Fall liegt in der Regel vor, wenn der Täter durch die Tat eine schwere Gefahr für den Bestand der Bundesrepublik Deutschland herbeiführt.</w:t>
      </w:r>
    </w:p>
    <w:p>
      <w:r>
        <w:t xml:space="preserve">(3) In minder schweren Fällen ist die Strafe Freiheitsstrafe von einem Jahr bis zu fünf Jahren.</w:t>
      </w:r>
    </w:p>
    <w:p>
      <w:r>
        <w:rPr>
          <w:color w:val="555555"/>
          <w:sz w:val="17"/>
        </w:rPr>
        <w:t xml:space="preserve">Zitiervorschlag: § 100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