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StGÜZV (Brandenburg)</w:t>
      </w:r>
    </w:p>
    <w:p>
      <w:r>
        <w:rPr>
          <w:color w:val="555555"/>
          <w:sz w:val="18"/>
        </w:rPr>
        <w:t xml:space="preserve">Straßenverkehrsrechts- und Güterkraftverkehrs-Zuständigkeits-Verordnung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örtlich und fachlich zuständigen Kraftfahrzeuginnungen sind zuständig für:</w:t>
      </w:r>
    </w:p>
    <w:p>
      <w:r>
        <w:t xml:space="preserve">die Anerkennung von Kraftfahrzeugwerkstätten zur Durchführung von Untersuchungen der Abgase oder Untersuchungen der Abgase an Krafträdern nach Anlage VIIIc Nummer 1.1 der Straßenverkehrs-Zulassungs-Ordnung,</w:t>
      </w:r>
    </w:p>
    <w:p>
      <w:r>
        <w:t xml:space="preserve">die Anerkennung von Kraftfahrzeugwerkstätten zur Durchführung von Gassystemeinbauprüfungen oder wiederkehrenden Gasanlagenprüfungen (GWP) und sonstigen Gasanlagenprüfungen im Sinne des § 41a Absatz 6 der Straßenverkehrs-Zulassungs-Ordnung nach Anlage XVIIa Nummer 1.1 der Straßenverkehrs-Zulassungs-Ordnung sowie</w:t>
      </w:r>
    </w:p>
    <w:p>
      <w:r>
        <w:t xml:space="preserve">die Anerkennung von Kraftfahrzeugwerkstätten zur Durchführung von Prüfungen der Fahrtschreiber und Kontrollgeräte nach Anlage XVIIId Nummer 1.1 der Straßenverkehrs-Zulassungs-Ordnung.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StGÜZV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https://recht.nulegal.eu/gesetze/StG%C3%9CZV/8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StGÜZV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