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StGÜZV (Brandenburg)</w:t>
      </w:r>
    </w:p>
    <w:p>
      <w:r>
        <w:rPr>
          <w:color w:val="555555"/>
          <w:sz w:val="18"/>
        </w:rPr>
        <w:t xml:space="preserve">Straßenverkehrsrechts- und Güterkraftverkehrs-Zuständigkeits-Verordnung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Abweichend von § 4 Absatz 1 können die Landkreise die ihnen als zuständige Behörde im Sinne des § 75 Absatz 1 der Fahrzeug-Zulassungsverordnung und des § 68 Absatz 1 der Straßenverkehrs-Zulassungs-Ordnung obliegenden Aufgaben auf Antrag durch eine öffentlich-rechtliche Vereinbarung teilweise oder vollständig auf amtsfreie Gemeinden oder Ämter übertragen, wenn eine effektive Aufgabenwahrnehmung und die erforderliche personelle und sachliche Ausstattung gewährleistet sind.</w:t>
      </w:r>
    </w:p>
    <w:p>
      <w:r>
        <w:t xml:space="preserve">(2) Neben den Landkreisen und kreisfreien Städten als unteren Verwaltungsbehörden im Sinne des § 73 Absatz 1 Satz 1 der Fahrerlaubnis-Verordnung sind die Ämter und amtsfreien Gemeinden für die Entgegennahme von Anträgen gemäß § 21 Absatz 1 Satz 1 der Fahrerlaubnis-Verordnung zuständig.</w:t>
      </w:r>
    </w:p>
    <w:p>
      <w:r>
        <w:t xml:space="preserve">(3) Die Ämter und amtsfreien Gemeinden nehmen die Aufgaben nach den Absätzen 1 und 2 als Pflichtaufgaben zur Erfüllung nach Weisung wahr. Das für Verkehr zuständige Ministerium ist oberste Sonderaufsichtsbehörde. Der Umfang des Weisungsrechtes ergibt sich aus § 121 der Kommunalverfassung des Landes Brandenburg.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StGÜZV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https://recht.nulegal.eu/gesetze/StG%C3%9CZV/5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StGÜZV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