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StFoG (Bayern)</w:t>
      </w:r>
    </w:p>
    <w:p>
      <w:r>
        <w:rPr>
          <w:color w:val="555555"/>
          <w:sz w:val="18"/>
        </w:rPr>
        <w:t xml:space="preserve">Staatsforstengesetz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Landtag des Freistaates Bayern hat das folgende Gesetz beschlossen, das hiermit bekannt gemacht wird:</w:t>
      </w:r>
    </w:p>
    <w:p>
      <w:r>
        <w:rPr>
          <w:color w:val="555555"/>
          <w:sz w:val="17"/>
        </w:rPr>
        <w:t xml:space="preserve">Zitiervorschlag: Eingangsformel StFoG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https://recht.nulegal.eu/gesetze/StFoG/eingangsformel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