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StFoG (Bayern) — Auflösung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Fall der Auflösung der Bayerischen Staatsforsten fällt deren Vermögen an den Freistaat Bayern.</w:t>
      </w:r>
    </w:p>
    <w:p>
      <w:r>
        <w:rPr>
          <w:color w:val="555555"/>
          <w:sz w:val="17"/>
        </w:rPr>
        <w:t xml:space="preserve">Zitiervorschlag: Art 21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